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png" ContentType="image/png"/>
  <Override PartName="/word/media/image8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19.09.2022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Долевка в Самарской области пошла в рост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4800 таких договоров.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то время как по ДДУ на протяжении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зарегистрировано в апреле – 1684. Всего за этот год зарегистрировано порядка 9500 прав на объекты долевого строительства. 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hyperlink r:id="rId5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2022-09-20T04:16:00.00Z</dcterms:created>
  <dc:creator>Никитина Ольга Александровна</dc:creator>
  <cp:lastModifiedBy>Сахнова Елена Анатольевна</cp:lastModifiedBy>
  <cp:lastPrinted>2022-09-16T13:31:00.00Z</cp:lastPrinted>
  <dcterms:modified xsi:type="dcterms:W3CDTF">2022-09-20T04:16:00.00Z</dcterms:modified>
  <cp:revision>2</cp:revision>
</cp:coreProperties>
</file>